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Richard Luo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Social Furniture System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Face-to-Face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Workspace stress can interfere with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productivity and impact both physical and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emotional health. Creating social space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for informal conversation and providing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opportunities for social interaction among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employees is a efficient way to release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stress as well as enhance relationships with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co-workers. This pie-shaped modular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furniture concept is designed to empower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and enable interactions in the office area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while creating a sense of sharing. It has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twelve pieces of identical sections that can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be joined to create endless arrangements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in a variety of shapes and functions as stools,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side tables, footrests, or bookcases. They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can be used as an intimate communication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space, where employees could relax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and share of information, encouraging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creative thinking, as well as serving as an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entertainment center to release workspace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stress. The pie-shaped modular system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is minimalist, with a clear and functional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use of its essential form. The curved lip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creates a minimal stacked system that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prevents each piece from moving around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when stacking on top of each other. It also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forms a subtle edge, preventing things from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rolling or sliding off from t</w:t>
      </w:r>
      <w:r>
        <w:rPr>
          <w:rtl w:val="0"/>
          <w:lang w:val="en-US"/>
        </w:rPr>
        <w:t>he</w:t>
      </w:r>
      <w:r>
        <w:rPr>
          <w:rtl w:val="0"/>
          <w:lang w:val="sv-SE"/>
        </w:rPr>
        <w:t xml:space="preserve"> storage space.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Additionally, the curved lip leaves a finger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space at the bottom edge for people lifting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piece when needed.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